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08" w:rsidRPr="00807B9A" w:rsidRDefault="00B4079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sidRPr="00807B9A">
        <w:rPr>
          <w:b/>
          <w:sz w:val="28"/>
          <w:szCs w:val="28"/>
        </w:rPr>
        <w:t xml:space="preserve">PROCUREMENT </w:t>
      </w:r>
      <w:bookmarkEnd w:id="0"/>
      <w:bookmarkEnd w:id="1"/>
      <w:r w:rsidRPr="00807B9A">
        <w:rPr>
          <w:b/>
          <w:sz w:val="28"/>
          <w:szCs w:val="28"/>
        </w:rPr>
        <w:t>NOTICE</w:t>
      </w:r>
      <w:bookmarkEnd w:id="2"/>
      <w:bookmarkEnd w:id="3"/>
    </w:p>
    <w:p w:rsidR="003D4008" w:rsidRPr="00807B9A" w:rsidRDefault="003D4008">
      <w:pPr>
        <w:rPr>
          <w:sz w:val="28"/>
          <w:szCs w:val="28"/>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D317E4" w:rsidRDefault="00D317E4" w:rsidP="00D317E4">
      <w:pPr>
        <w:tabs>
          <w:tab w:val="left" w:pos="1134"/>
        </w:tabs>
        <w:ind w:left="709"/>
        <w:contextualSpacing/>
        <w:jc w:val="both"/>
        <w:rPr>
          <w:rFonts w:eastAsia="Calibri"/>
          <w:bCs/>
          <w:sz w:val="28"/>
          <w:szCs w:val="28"/>
          <w:lang w:val="en-US" w:eastAsia="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Pr="00BF08FE">
        <w:rPr>
          <w:rFonts w:ascii="Times New Roman" w:hAnsi="Times New Roman"/>
          <w:sz w:val="28"/>
          <w:szCs w:val="28"/>
          <w:lang w:val="en-US"/>
        </w:rPr>
        <w:t>07.02.2019 № 112</w:t>
      </w:r>
      <w:r>
        <w:rPr>
          <w:rFonts w:ascii="Times New Roman" w:hAnsi="Times New Roman"/>
          <w:sz w:val="28"/>
          <w:szCs w:val="28"/>
          <w:lang w:val="en-US"/>
        </w:rPr>
        <w:t>).</w:t>
      </w:r>
    </w:p>
    <w:p w:rsidR="00D317E4" w:rsidRDefault="00D317E4" w:rsidP="00D317E4">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317E4" w:rsidRDefault="00D317E4" w:rsidP="00D317E4">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D317E4" w:rsidRPr="00336170"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Pr="00BB3120">
        <w:rPr>
          <w:rFonts w:ascii="Times New Roman" w:hAnsi="Times New Roman"/>
          <w:sz w:val="28"/>
          <w:szCs w:val="28"/>
          <w:lang w:val="en-US"/>
        </w:rPr>
        <w:t xml:space="preserve">contract </w:t>
      </w:r>
      <w:r w:rsidRPr="00866660">
        <w:rPr>
          <w:rFonts w:ascii="Times New Roman" w:hAnsi="Times New Roman"/>
          <w:sz w:val="28"/>
          <w:szCs w:val="28"/>
          <w:lang w:val="en-US"/>
        </w:rPr>
        <w:t>for providing the legal services for Rosatom South East Asia Pte. Ltd. Japan Branch Office</w:t>
      </w:r>
      <w:r w:rsidRPr="00336170">
        <w:rPr>
          <w:rFonts w:ascii="Times New Roman" w:hAnsi="Times New Roman"/>
          <w:sz w:val="28"/>
          <w:szCs w:val="28"/>
          <w:lang w:val="en-US"/>
        </w:rPr>
        <w:t>.</w:t>
      </w:r>
    </w:p>
    <w:p w:rsidR="00D317E4" w:rsidRPr="0072148A" w:rsidRDefault="00D317E4" w:rsidP="00D317E4">
      <w:pPr>
        <w:tabs>
          <w:tab w:val="left" w:pos="1134"/>
        </w:tabs>
        <w:ind w:left="709"/>
        <w:contextualSpacing/>
        <w:jc w:val="both"/>
        <w:rPr>
          <w:b/>
          <w:spacing w:val="-6"/>
          <w:sz w:val="28"/>
          <w:szCs w:val="28"/>
          <w:lang w:val="en-US"/>
        </w:rPr>
      </w:pPr>
    </w:p>
    <w:p w:rsidR="00D317E4" w:rsidRPr="00A92DB3" w:rsidRDefault="00D317E4" w:rsidP="00D317E4">
      <w:pPr>
        <w:pStyle w:val="a6"/>
        <w:numPr>
          <w:ilvl w:val="0"/>
          <w:numId w:val="3"/>
        </w:numPr>
        <w:tabs>
          <w:tab w:val="left" w:pos="0"/>
          <w:tab w:val="left" w:pos="1134"/>
        </w:tabs>
        <w:spacing w:after="0" w:line="240" w:lineRule="auto"/>
        <w:ind w:left="0" w:firstLine="709"/>
        <w:jc w:val="both"/>
        <w:rPr>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Pr="0072148A">
        <w:rPr>
          <w:rFonts w:ascii="Times New Roman" w:hAnsi="Times New Roman"/>
          <w:spacing w:val="-6"/>
          <w:sz w:val="28"/>
          <w:szCs w:val="28"/>
          <w:lang w:val="en-US"/>
        </w:rPr>
        <w:t>:</w:t>
      </w:r>
      <w:r w:rsidRPr="0072148A">
        <w:rPr>
          <w:rFonts w:ascii="Times New Roman" w:hAnsi="Times New Roman"/>
          <w:b/>
          <w:i/>
          <w:lang w:val="en-US"/>
        </w:rPr>
        <w:t xml:space="preserve"> </w:t>
      </w:r>
      <w:r w:rsidRPr="00AC7639">
        <w:rPr>
          <w:rFonts w:ascii="Times New Roman" w:hAnsi="Times New Roman"/>
          <w:sz w:val="28"/>
          <w:szCs w:val="28"/>
          <w:lang w:val="en-US"/>
        </w:rPr>
        <w:t xml:space="preserve">ROSATOM South East Asia </w:t>
      </w:r>
      <w:proofErr w:type="spellStart"/>
      <w:r w:rsidRPr="00AC7639">
        <w:rPr>
          <w:rFonts w:ascii="Times New Roman" w:hAnsi="Times New Roman"/>
          <w:sz w:val="28"/>
          <w:szCs w:val="28"/>
          <w:lang w:val="en-US"/>
        </w:rPr>
        <w:t>Pte</w:t>
      </w:r>
      <w:proofErr w:type="spellEnd"/>
      <w:r w:rsidRPr="00AC7639">
        <w:rPr>
          <w:rFonts w:ascii="Times New Roman" w:hAnsi="Times New Roman"/>
          <w:sz w:val="28"/>
          <w:szCs w:val="28"/>
          <w:lang w:val="en-US"/>
        </w:rPr>
        <w:t xml:space="preserve"> Ltd</w:t>
      </w:r>
      <w:r w:rsidRPr="00A92DB3">
        <w:rPr>
          <w:rFonts w:ascii="Times New Roman" w:hAnsi="Times New Roman"/>
          <w:spacing w:val="-6"/>
          <w:sz w:val="28"/>
          <w:szCs w:val="28"/>
          <w:lang w:val="cs-CZ"/>
        </w:rPr>
        <w:t>.</w:t>
      </w:r>
      <w:r w:rsidRPr="00A92DB3">
        <w:rPr>
          <w:rFonts w:ascii="Times New Roman" w:eastAsia="Times New Roman" w:hAnsi="Times New Roman"/>
          <w:lang w:val="en"/>
        </w:rPr>
        <w:t xml:space="preserve"> </w:t>
      </w:r>
    </w:p>
    <w:p w:rsidR="00D317E4" w:rsidRPr="00A92DB3" w:rsidRDefault="00D317E4" w:rsidP="00D317E4">
      <w:pPr>
        <w:ind w:firstLine="709"/>
        <w:rPr>
          <w:sz w:val="28"/>
          <w:szCs w:val="28"/>
          <w:lang w:val="en-US"/>
        </w:rPr>
      </w:pPr>
      <w:r w:rsidRPr="00A92DB3">
        <w:rPr>
          <w:sz w:val="28"/>
          <w:szCs w:val="28"/>
          <w:lang w:val="en"/>
        </w:rPr>
        <w:t>Location:</w:t>
      </w:r>
      <w:r w:rsidRPr="00A92DB3">
        <w:rPr>
          <w:lang w:val="en-US"/>
        </w:rPr>
        <w:t xml:space="preserve"> </w:t>
      </w:r>
      <w:r w:rsidRPr="00AC7639">
        <w:rPr>
          <w:sz w:val="28"/>
          <w:szCs w:val="28"/>
          <w:lang w:val="en"/>
        </w:rPr>
        <w:t>Singapore</w:t>
      </w:r>
      <w:r w:rsidRPr="00A92DB3">
        <w:rPr>
          <w:sz w:val="28"/>
          <w:szCs w:val="28"/>
          <w:lang w:val="en-US"/>
        </w:rPr>
        <w:t>.</w:t>
      </w:r>
    </w:p>
    <w:p w:rsidR="00D317E4" w:rsidRPr="00A92DB3" w:rsidRDefault="00D317E4" w:rsidP="00D317E4">
      <w:pPr>
        <w:ind w:firstLine="709"/>
        <w:rPr>
          <w:sz w:val="28"/>
          <w:szCs w:val="28"/>
          <w:lang w:val="en-US"/>
        </w:rPr>
      </w:pPr>
      <w:r w:rsidRPr="00A92DB3">
        <w:rPr>
          <w:sz w:val="28"/>
          <w:szCs w:val="28"/>
          <w:lang w:val="en"/>
        </w:rPr>
        <w:t xml:space="preserve">Postal address: </w:t>
      </w:r>
      <w:r w:rsidRPr="00AC7639">
        <w:rPr>
          <w:sz w:val="28"/>
          <w:szCs w:val="28"/>
          <w:lang w:val="en"/>
        </w:rPr>
        <w:t>20 Collyer Quay #09-05, Singapore 049319</w:t>
      </w:r>
      <w:r w:rsidRPr="00A92DB3">
        <w:rPr>
          <w:sz w:val="28"/>
          <w:szCs w:val="28"/>
          <w:lang w:val="en-US"/>
        </w:rPr>
        <w:t>.</w:t>
      </w:r>
    </w:p>
    <w:p w:rsidR="00D317E4" w:rsidRPr="007D58A2" w:rsidRDefault="00D317E4" w:rsidP="00D317E4">
      <w:pPr>
        <w:tabs>
          <w:tab w:val="left" w:pos="1134"/>
        </w:tabs>
        <w:ind w:firstLine="709"/>
        <w:contextualSpacing/>
        <w:jc w:val="both"/>
        <w:rPr>
          <w:color w:val="000000" w:themeColor="text1"/>
          <w:sz w:val="28"/>
          <w:szCs w:val="28"/>
          <w:lang w:val="en-US"/>
        </w:rPr>
      </w:pPr>
      <w:r w:rsidRPr="007D58A2">
        <w:rPr>
          <w:sz w:val="28"/>
          <w:szCs w:val="28"/>
          <w:lang w:val="en-US"/>
        </w:rPr>
        <w:t xml:space="preserve">Contact </w:t>
      </w:r>
      <w:r w:rsidRPr="007D58A2">
        <w:rPr>
          <w:color w:val="000000" w:themeColor="text1"/>
          <w:sz w:val="28"/>
          <w:szCs w:val="28"/>
          <w:lang w:val="en-US"/>
        </w:rPr>
        <w:t xml:space="preserve">person: </w:t>
      </w:r>
      <w:proofErr w:type="spellStart"/>
      <w:r w:rsidRPr="007D58A2">
        <w:rPr>
          <w:color w:val="000000" w:themeColor="text1"/>
          <w:sz w:val="28"/>
          <w:szCs w:val="28"/>
          <w:lang w:val="en-US"/>
        </w:rPr>
        <w:t>Ksenia</w:t>
      </w:r>
      <w:proofErr w:type="spellEnd"/>
      <w:r w:rsidRPr="007D58A2">
        <w:rPr>
          <w:color w:val="000000" w:themeColor="text1"/>
          <w:sz w:val="28"/>
          <w:szCs w:val="28"/>
          <w:lang w:val="en-US"/>
        </w:rPr>
        <w:t xml:space="preserve"> </w:t>
      </w:r>
      <w:proofErr w:type="spellStart"/>
      <w:r w:rsidRPr="007D58A2">
        <w:rPr>
          <w:color w:val="000000" w:themeColor="text1"/>
          <w:sz w:val="28"/>
          <w:szCs w:val="28"/>
          <w:lang w:val="en-US"/>
        </w:rPr>
        <w:t>Ulanovskaya</w:t>
      </w:r>
      <w:proofErr w:type="spellEnd"/>
    </w:p>
    <w:p w:rsidR="00D317E4" w:rsidRPr="007D58A2" w:rsidRDefault="00D317E4" w:rsidP="00D317E4">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Ph.</w:t>
      </w:r>
      <w:r w:rsidRPr="007D58A2">
        <w:rPr>
          <w:color w:val="000000" w:themeColor="text1"/>
          <w:lang w:val="en-US"/>
        </w:rPr>
        <w:t xml:space="preserve"> </w:t>
      </w:r>
      <w:r w:rsidRPr="007D58A2">
        <w:rPr>
          <w:color w:val="000000" w:themeColor="text1"/>
          <w:sz w:val="28"/>
          <w:szCs w:val="28"/>
          <w:lang w:val="en"/>
        </w:rPr>
        <w:t>+81 90 2258 9668 </w:t>
      </w:r>
    </w:p>
    <w:p w:rsidR="00D317E4" w:rsidRPr="00866660" w:rsidRDefault="00D317E4" w:rsidP="00D317E4">
      <w:pPr>
        <w:tabs>
          <w:tab w:val="left" w:pos="1134"/>
        </w:tabs>
        <w:ind w:firstLine="709"/>
        <w:contextualSpacing/>
        <w:jc w:val="both"/>
        <w:rPr>
          <w:color w:val="000000" w:themeColor="text1"/>
          <w:sz w:val="28"/>
          <w:szCs w:val="28"/>
          <w:lang w:val="en"/>
        </w:rPr>
      </w:pPr>
      <w:r w:rsidRPr="007D58A2">
        <w:rPr>
          <w:color w:val="000000" w:themeColor="text1"/>
          <w:sz w:val="28"/>
          <w:szCs w:val="28"/>
          <w:lang w:val="en"/>
        </w:rPr>
        <w:t>E-mail</w:t>
      </w:r>
      <w:r w:rsidRPr="00866660">
        <w:rPr>
          <w:color w:val="000000" w:themeColor="text1"/>
          <w:sz w:val="28"/>
          <w:szCs w:val="28"/>
          <w:lang w:val="en"/>
        </w:rPr>
        <w:t>:</w:t>
      </w:r>
      <w:r w:rsidRPr="007D58A2">
        <w:rPr>
          <w:color w:val="000000" w:themeColor="text1"/>
          <w:sz w:val="28"/>
          <w:szCs w:val="28"/>
          <w:lang w:val="en"/>
        </w:rPr>
        <w:t xml:space="preserve"> </w:t>
      </w:r>
      <w:r w:rsidRPr="00866660">
        <w:rPr>
          <w:color w:val="000000" w:themeColor="text1"/>
          <w:sz w:val="28"/>
          <w:szCs w:val="28"/>
          <w:lang w:val="en"/>
        </w:rPr>
        <w:t>KMUlanovskaya@rosatominternational.com.</w:t>
      </w:r>
    </w:p>
    <w:p w:rsidR="00D317E4" w:rsidRDefault="00D317E4" w:rsidP="00D317E4">
      <w:pPr>
        <w:tabs>
          <w:tab w:val="left" w:pos="1134"/>
        </w:tabs>
        <w:ind w:firstLine="709"/>
        <w:contextualSpacing/>
        <w:rPr>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317E4" w:rsidRDefault="00D317E4" w:rsidP="00D317E4">
      <w:pPr>
        <w:tabs>
          <w:tab w:val="left" w:pos="1134"/>
        </w:tabs>
        <w:ind w:firstLine="709"/>
        <w:contextualSpacing/>
        <w:rPr>
          <w:sz w:val="28"/>
          <w:szCs w:val="28"/>
        </w:rPr>
      </w:pPr>
    </w:p>
    <w:p w:rsidR="00D317E4" w:rsidRPr="003D6A85"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866660">
        <w:rPr>
          <w:rFonts w:ascii="Times New Roman" w:hAnsi="Times New Roman"/>
          <w:sz w:val="28"/>
          <w:szCs w:val="28"/>
          <w:lang w:val="en-US"/>
        </w:rPr>
        <w:t>providing the legal services for Rosatom South East Asia Pte. Ltd. Japan Branch Office</w:t>
      </w:r>
      <w:r>
        <w:rPr>
          <w:rFonts w:ascii="Times New Roman" w:hAnsi="Times New Roman"/>
          <w:sz w:val="28"/>
          <w:szCs w:val="28"/>
          <w:lang w:val="en-US"/>
        </w:rPr>
        <w:t>.</w:t>
      </w:r>
    </w:p>
    <w:p w:rsidR="00D317E4" w:rsidRDefault="00D317E4" w:rsidP="00D317E4">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 xml:space="preserve">for provision services: 12 </w:t>
      </w:r>
      <w:r>
        <w:rPr>
          <w:sz w:val="28"/>
          <w:szCs w:val="28"/>
          <w:lang w:val="en"/>
        </w:rPr>
        <w:t>calendar months from the date of the contract’s conclusion.</w:t>
      </w:r>
    </w:p>
    <w:p w:rsidR="00D317E4" w:rsidRDefault="00D317E4" w:rsidP="00D317E4">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D317E4" w:rsidRDefault="00D317E4" w:rsidP="00D317E4">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317E4" w:rsidRDefault="00D317E4" w:rsidP="00D317E4">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317E4" w:rsidRDefault="00D317E4" w:rsidP="00D317E4">
      <w:pPr>
        <w:tabs>
          <w:tab w:val="left" w:pos="1134"/>
        </w:tabs>
        <w:ind w:firstLine="709"/>
        <w:contextualSpacing/>
        <w:jc w:val="both"/>
        <w:rPr>
          <w:b/>
          <w:i/>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317E4" w:rsidRDefault="00D317E4" w:rsidP="00D317E4">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317E4" w:rsidRDefault="00D317E4" w:rsidP="00D317E4">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D317E4" w:rsidRDefault="00D317E4" w:rsidP="00D317E4">
      <w:pPr>
        <w:tabs>
          <w:tab w:val="left" w:pos="1134"/>
        </w:tabs>
        <w:ind w:firstLine="709"/>
        <w:contextualSpacing/>
        <w:jc w:val="both"/>
        <w:rPr>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w:t>
      </w:r>
      <w:r w:rsidRPr="00A203FE">
        <w:rPr>
          <w:rFonts w:ascii="Times New Roman" w:hAnsi="Times New Roman"/>
          <w:sz w:val="28"/>
          <w:szCs w:val="28"/>
          <w:lang w:val="en-US"/>
        </w:rPr>
        <w:t xml:space="preserve">price of each </w:t>
      </w:r>
      <w:r>
        <w:rPr>
          <w:rFonts w:ascii="Times New Roman" w:hAnsi="Times New Roman"/>
          <w:sz w:val="28"/>
          <w:szCs w:val="28"/>
          <w:lang w:val="en-US"/>
        </w:rPr>
        <w:t>product</w:t>
      </w:r>
      <w:r w:rsidRPr="00A203FE">
        <w:rPr>
          <w:rFonts w:ascii="Times New Roman" w:hAnsi="Times New Roman"/>
          <w:sz w:val="28"/>
          <w:szCs w:val="28"/>
          <w:lang w:val="en-US"/>
        </w:rPr>
        <w:t>:</w:t>
      </w:r>
      <w:r>
        <w:rPr>
          <w:rFonts w:ascii="Times New Roman" w:hAnsi="Times New Roman"/>
          <w:sz w:val="28"/>
          <w:szCs w:val="28"/>
          <w:lang w:val="en-US"/>
        </w:rPr>
        <w:t xml:space="preserve"> </w:t>
      </w:r>
    </w:p>
    <w:tbl>
      <w:tblPr>
        <w:tblStyle w:val="a9"/>
        <w:tblW w:w="10456" w:type="dxa"/>
        <w:tblLook w:val="04A0" w:firstRow="1" w:lastRow="0" w:firstColumn="1" w:lastColumn="0" w:noHBand="0" w:noVBand="1"/>
      </w:tblPr>
      <w:tblGrid>
        <w:gridCol w:w="600"/>
        <w:gridCol w:w="6879"/>
        <w:gridCol w:w="2977"/>
      </w:tblGrid>
      <w:tr w:rsidR="00D317E4" w:rsidRPr="00BF3E5F" w:rsidTr="00005E44">
        <w:tc>
          <w:tcPr>
            <w:tcW w:w="600" w:type="dxa"/>
            <w:shd w:val="clear" w:color="auto" w:fill="auto"/>
            <w:vAlign w:val="center"/>
          </w:tcPr>
          <w:p w:rsidR="00D317E4" w:rsidRPr="00C20473" w:rsidRDefault="00D317E4" w:rsidP="00005E44">
            <w:pPr>
              <w:tabs>
                <w:tab w:val="left" w:pos="1134"/>
              </w:tabs>
              <w:contextualSpacing/>
              <w:jc w:val="center"/>
              <w:rPr>
                <w:sz w:val="28"/>
                <w:szCs w:val="28"/>
              </w:rPr>
            </w:pPr>
            <w:r w:rsidRPr="00C20473">
              <w:rPr>
                <w:sz w:val="28"/>
                <w:szCs w:val="28"/>
              </w:rPr>
              <w:lastRenderedPageBreak/>
              <w:t xml:space="preserve">№ </w:t>
            </w:r>
          </w:p>
        </w:tc>
        <w:tc>
          <w:tcPr>
            <w:tcW w:w="6879" w:type="dxa"/>
            <w:shd w:val="clear" w:color="auto" w:fill="auto"/>
            <w:vAlign w:val="center"/>
          </w:tcPr>
          <w:p w:rsidR="00D317E4" w:rsidRPr="0009000B" w:rsidRDefault="00D317E4" w:rsidP="00005E44">
            <w:pPr>
              <w:tabs>
                <w:tab w:val="left" w:pos="1134"/>
              </w:tabs>
              <w:contextualSpacing/>
              <w:jc w:val="center"/>
              <w:rPr>
                <w:sz w:val="28"/>
                <w:szCs w:val="28"/>
                <w:lang w:val="en-US"/>
              </w:rPr>
            </w:pPr>
            <w:r w:rsidRPr="0009000B">
              <w:rPr>
                <w:sz w:val="28"/>
                <w:szCs w:val="28"/>
                <w:lang w:val="en-US"/>
              </w:rPr>
              <w:t>Product name (Categories)</w:t>
            </w:r>
          </w:p>
        </w:tc>
        <w:tc>
          <w:tcPr>
            <w:tcW w:w="2977" w:type="dxa"/>
            <w:shd w:val="clear" w:color="auto" w:fill="auto"/>
            <w:vAlign w:val="center"/>
          </w:tcPr>
          <w:p w:rsidR="00D317E4" w:rsidRPr="00F50893" w:rsidRDefault="00D317E4" w:rsidP="00005E44">
            <w:pPr>
              <w:tabs>
                <w:tab w:val="left" w:pos="1134"/>
              </w:tabs>
              <w:contextualSpacing/>
              <w:jc w:val="center"/>
              <w:rPr>
                <w:sz w:val="28"/>
                <w:lang w:val="en-US"/>
              </w:rPr>
            </w:pPr>
            <w:r w:rsidRPr="00F50893">
              <w:rPr>
                <w:sz w:val="28"/>
                <w:szCs w:val="28"/>
                <w:lang w:val="en-US"/>
              </w:rPr>
              <w:t>The initial (maximum) price of each product</w:t>
            </w:r>
            <w:r w:rsidRPr="00F50893">
              <w:rPr>
                <w:sz w:val="28"/>
                <w:lang w:val="en-US"/>
              </w:rPr>
              <w:t xml:space="preserve">, </w:t>
            </w:r>
            <w:r w:rsidRPr="00F50893">
              <w:rPr>
                <w:rFonts w:eastAsia="Calibri"/>
                <w:sz w:val="28"/>
                <w:szCs w:val="28"/>
                <w:lang w:val="en"/>
              </w:rPr>
              <w:t>JPY</w:t>
            </w:r>
            <w:r w:rsidRPr="00F50893">
              <w:rPr>
                <w:rFonts w:eastAsia="Calibri"/>
                <w:lang w:val="en"/>
              </w:rPr>
              <w:t xml:space="preserve"> </w:t>
            </w:r>
            <w:r w:rsidRPr="00F50893">
              <w:rPr>
                <w:rFonts w:eastAsia="Calibri"/>
                <w:sz w:val="28"/>
                <w:szCs w:val="28"/>
                <w:lang w:val="en"/>
              </w:rPr>
              <w:t>including VAT</w:t>
            </w:r>
            <w:r w:rsidRPr="00F50893">
              <w:rPr>
                <w:rFonts w:eastAsia="Calibri"/>
                <w:sz w:val="28"/>
                <w:szCs w:val="28"/>
                <w:lang w:val="en-US"/>
              </w:rPr>
              <w:t xml:space="preserve"> and all applicable taxes</w:t>
            </w:r>
          </w:p>
        </w:tc>
      </w:tr>
      <w:tr w:rsidR="00D317E4" w:rsidRPr="00C20473" w:rsidTr="00005E44">
        <w:tc>
          <w:tcPr>
            <w:tcW w:w="600" w:type="dxa"/>
            <w:shd w:val="clear" w:color="auto" w:fill="auto"/>
          </w:tcPr>
          <w:p w:rsidR="00D317E4" w:rsidRPr="0009000B" w:rsidRDefault="00D317E4" w:rsidP="00D317E4">
            <w:pPr>
              <w:pStyle w:val="a6"/>
              <w:numPr>
                <w:ilvl w:val="0"/>
                <w:numId w:val="14"/>
              </w:numPr>
              <w:tabs>
                <w:tab w:val="left" w:pos="284"/>
              </w:tabs>
              <w:spacing w:after="0"/>
              <w:contextualSpacing w:val="0"/>
              <w:jc w:val="center"/>
              <w:rPr>
                <w:sz w:val="28"/>
                <w:szCs w:val="28"/>
                <w:lang w:val="en-US"/>
              </w:rPr>
            </w:pPr>
          </w:p>
        </w:tc>
        <w:tc>
          <w:tcPr>
            <w:tcW w:w="6879" w:type="dxa"/>
            <w:shd w:val="clear" w:color="auto" w:fill="auto"/>
            <w:vAlign w:val="center"/>
          </w:tcPr>
          <w:p w:rsidR="00D317E4" w:rsidRPr="0013315D" w:rsidRDefault="00D317E4" w:rsidP="00005E44">
            <w:pPr>
              <w:tabs>
                <w:tab w:val="left" w:pos="1134"/>
              </w:tabs>
              <w:contextualSpacing/>
              <w:jc w:val="center"/>
              <w:rPr>
                <w:sz w:val="28"/>
                <w:szCs w:val="28"/>
                <w:lang w:val="en-US"/>
              </w:rPr>
            </w:pPr>
            <w:r>
              <w:rPr>
                <w:sz w:val="28"/>
                <w:szCs w:val="28"/>
                <w:lang w:val="en-US"/>
              </w:rPr>
              <w:t>Hourly rate of partner</w:t>
            </w:r>
            <w:r w:rsidRPr="0013315D">
              <w:rPr>
                <w:sz w:val="28"/>
                <w:szCs w:val="28"/>
                <w:lang w:val="en-US"/>
              </w:rPr>
              <w:t xml:space="preserve"> (partner)</w:t>
            </w:r>
          </w:p>
        </w:tc>
        <w:tc>
          <w:tcPr>
            <w:tcW w:w="2977" w:type="dxa"/>
            <w:shd w:val="clear" w:color="auto" w:fill="auto"/>
            <w:vAlign w:val="center"/>
          </w:tcPr>
          <w:p w:rsidR="00D317E4" w:rsidRPr="00F50893" w:rsidRDefault="00D317E4" w:rsidP="00005E44">
            <w:pPr>
              <w:tabs>
                <w:tab w:val="left" w:pos="1134"/>
              </w:tabs>
              <w:contextualSpacing/>
              <w:jc w:val="center"/>
              <w:rPr>
                <w:sz w:val="28"/>
                <w:szCs w:val="28"/>
                <w:lang w:val="en-US"/>
              </w:rPr>
            </w:pPr>
            <w:r w:rsidRPr="00F50893">
              <w:rPr>
                <w:sz w:val="28"/>
                <w:szCs w:val="28"/>
                <w:lang w:val="en-US"/>
              </w:rPr>
              <w:t>46 500</w:t>
            </w:r>
            <w:r w:rsidRPr="00F50893">
              <w:rPr>
                <w:sz w:val="28"/>
                <w:szCs w:val="28"/>
              </w:rPr>
              <w:t>,</w:t>
            </w:r>
            <w:r w:rsidRPr="00F50893">
              <w:rPr>
                <w:sz w:val="28"/>
                <w:szCs w:val="28"/>
                <w:lang w:val="en-US"/>
              </w:rPr>
              <w:t>00</w:t>
            </w:r>
          </w:p>
        </w:tc>
      </w:tr>
      <w:tr w:rsidR="00D317E4" w:rsidRPr="00C20473" w:rsidTr="00005E44">
        <w:tc>
          <w:tcPr>
            <w:tcW w:w="600" w:type="dxa"/>
            <w:shd w:val="clear" w:color="auto" w:fill="auto"/>
          </w:tcPr>
          <w:p w:rsidR="00D317E4" w:rsidRPr="00C20473" w:rsidRDefault="00D317E4" w:rsidP="00D317E4">
            <w:pPr>
              <w:pStyle w:val="a6"/>
              <w:numPr>
                <w:ilvl w:val="0"/>
                <w:numId w:val="14"/>
              </w:numPr>
              <w:tabs>
                <w:tab w:val="left" w:pos="284"/>
              </w:tabs>
              <w:spacing w:after="0"/>
              <w:contextualSpacing w:val="0"/>
              <w:jc w:val="center"/>
              <w:rPr>
                <w:sz w:val="28"/>
                <w:szCs w:val="28"/>
              </w:rPr>
            </w:pPr>
          </w:p>
        </w:tc>
        <w:tc>
          <w:tcPr>
            <w:tcW w:w="6879" w:type="dxa"/>
            <w:shd w:val="clear" w:color="auto" w:fill="auto"/>
            <w:vAlign w:val="center"/>
          </w:tcPr>
          <w:p w:rsidR="00D317E4" w:rsidRDefault="00D317E4" w:rsidP="00005E44">
            <w:pPr>
              <w:tabs>
                <w:tab w:val="left" w:pos="1134"/>
              </w:tabs>
              <w:contextualSpacing/>
              <w:jc w:val="center"/>
              <w:rPr>
                <w:sz w:val="28"/>
                <w:szCs w:val="28"/>
                <w:lang w:val="en-US"/>
              </w:rPr>
            </w:pPr>
            <w:r>
              <w:rPr>
                <w:sz w:val="28"/>
                <w:szCs w:val="28"/>
                <w:lang w:val="en-US"/>
              </w:rPr>
              <w:t>Hourly rate of</w:t>
            </w:r>
            <w:r w:rsidRPr="0013315D">
              <w:rPr>
                <w:sz w:val="28"/>
                <w:szCs w:val="28"/>
                <w:lang w:val="en-US"/>
              </w:rPr>
              <w:t xml:space="preserve"> counsel/senior lawyer </w:t>
            </w:r>
          </w:p>
          <w:p w:rsidR="00D317E4" w:rsidRPr="0013315D" w:rsidRDefault="00D317E4" w:rsidP="00005E44">
            <w:pPr>
              <w:tabs>
                <w:tab w:val="left" w:pos="1134"/>
              </w:tabs>
              <w:contextualSpacing/>
              <w:jc w:val="center"/>
              <w:rPr>
                <w:sz w:val="28"/>
                <w:szCs w:val="28"/>
                <w:lang w:val="en-US"/>
              </w:rPr>
            </w:pPr>
            <w:r w:rsidRPr="0013315D">
              <w:rPr>
                <w:sz w:val="28"/>
                <w:szCs w:val="28"/>
                <w:lang w:val="en-US"/>
              </w:rPr>
              <w:t>(counsel/senior lawyer)</w:t>
            </w:r>
          </w:p>
        </w:tc>
        <w:tc>
          <w:tcPr>
            <w:tcW w:w="2977" w:type="dxa"/>
            <w:shd w:val="clear" w:color="auto" w:fill="auto"/>
            <w:vAlign w:val="center"/>
          </w:tcPr>
          <w:p w:rsidR="00D317E4" w:rsidRPr="00F50893" w:rsidRDefault="00D317E4" w:rsidP="00005E44">
            <w:pPr>
              <w:tabs>
                <w:tab w:val="left" w:pos="1134"/>
              </w:tabs>
              <w:contextualSpacing/>
              <w:jc w:val="center"/>
              <w:rPr>
                <w:sz w:val="28"/>
                <w:szCs w:val="28"/>
                <w:lang w:val="en-US"/>
              </w:rPr>
            </w:pPr>
            <w:r w:rsidRPr="00F50893">
              <w:rPr>
                <w:sz w:val="28"/>
                <w:szCs w:val="28"/>
                <w:lang w:val="en-US"/>
              </w:rPr>
              <w:t>37 000</w:t>
            </w:r>
            <w:r w:rsidRPr="00F50893">
              <w:rPr>
                <w:sz w:val="28"/>
                <w:szCs w:val="28"/>
              </w:rPr>
              <w:t>,</w:t>
            </w:r>
            <w:r w:rsidRPr="00F50893">
              <w:rPr>
                <w:sz w:val="28"/>
                <w:szCs w:val="28"/>
                <w:lang w:val="en-US"/>
              </w:rPr>
              <w:t>00</w:t>
            </w:r>
          </w:p>
        </w:tc>
      </w:tr>
      <w:tr w:rsidR="00D317E4" w:rsidRPr="00C20473" w:rsidTr="00005E44">
        <w:tc>
          <w:tcPr>
            <w:tcW w:w="600" w:type="dxa"/>
            <w:shd w:val="clear" w:color="auto" w:fill="auto"/>
          </w:tcPr>
          <w:p w:rsidR="00D317E4" w:rsidRPr="00C20473" w:rsidRDefault="00D317E4" w:rsidP="00D317E4">
            <w:pPr>
              <w:pStyle w:val="a6"/>
              <w:numPr>
                <w:ilvl w:val="0"/>
                <w:numId w:val="14"/>
              </w:numPr>
              <w:tabs>
                <w:tab w:val="left" w:pos="284"/>
              </w:tabs>
              <w:spacing w:after="0"/>
              <w:contextualSpacing w:val="0"/>
              <w:jc w:val="center"/>
              <w:rPr>
                <w:sz w:val="28"/>
                <w:szCs w:val="28"/>
              </w:rPr>
            </w:pPr>
          </w:p>
        </w:tc>
        <w:tc>
          <w:tcPr>
            <w:tcW w:w="6879" w:type="dxa"/>
            <w:shd w:val="clear" w:color="auto" w:fill="auto"/>
            <w:vAlign w:val="center"/>
          </w:tcPr>
          <w:p w:rsidR="00D317E4" w:rsidRPr="0013315D" w:rsidRDefault="00D317E4" w:rsidP="00005E44">
            <w:pPr>
              <w:tabs>
                <w:tab w:val="left" w:pos="1134"/>
              </w:tabs>
              <w:contextualSpacing/>
              <w:jc w:val="center"/>
              <w:rPr>
                <w:sz w:val="28"/>
                <w:szCs w:val="28"/>
                <w:lang w:val="en-US"/>
              </w:rPr>
            </w:pPr>
            <w:r>
              <w:rPr>
                <w:sz w:val="28"/>
                <w:szCs w:val="28"/>
                <w:lang w:val="en-US"/>
              </w:rPr>
              <w:t>Hourly rate of lawyer/associate</w:t>
            </w:r>
            <w:r w:rsidRPr="0013315D">
              <w:rPr>
                <w:sz w:val="28"/>
                <w:szCs w:val="28"/>
                <w:lang w:val="en-US"/>
              </w:rPr>
              <w:t xml:space="preserve"> (</w:t>
            </w:r>
            <w:r>
              <w:rPr>
                <w:sz w:val="28"/>
                <w:szCs w:val="28"/>
                <w:lang w:val="en-US"/>
              </w:rPr>
              <w:t>lawyer/associate</w:t>
            </w:r>
            <w:r w:rsidRPr="0013315D">
              <w:rPr>
                <w:sz w:val="28"/>
                <w:szCs w:val="28"/>
                <w:lang w:val="en-US"/>
              </w:rPr>
              <w:t>)</w:t>
            </w:r>
          </w:p>
        </w:tc>
        <w:tc>
          <w:tcPr>
            <w:tcW w:w="2977" w:type="dxa"/>
            <w:shd w:val="clear" w:color="auto" w:fill="auto"/>
            <w:vAlign w:val="center"/>
          </w:tcPr>
          <w:p w:rsidR="00D317E4" w:rsidRPr="00F50893" w:rsidRDefault="00D317E4" w:rsidP="00005E44">
            <w:pPr>
              <w:tabs>
                <w:tab w:val="left" w:pos="1134"/>
              </w:tabs>
              <w:contextualSpacing/>
              <w:jc w:val="center"/>
              <w:rPr>
                <w:sz w:val="28"/>
                <w:szCs w:val="28"/>
                <w:lang w:val="en-US"/>
              </w:rPr>
            </w:pPr>
            <w:r w:rsidRPr="00F50893">
              <w:rPr>
                <w:sz w:val="28"/>
                <w:szCs w:val="28"/>
                <w:lang w:val="en-US"/>
              </w:rPr>
              <w:t>20 000</w:t>
            </w:r>
            <w:r w:rsidRPr="00F50893">
              <w:rPr>
                <w:sz w:val="28"/>
                <w:szCs w:val="28"/>
              </w:rPr>
              <w:t>,</w:t>
            </w:r>
            <w:r w:rsidRPr="00F50893">
              <w:rPr>
                <w:sz w:val="28"/>
                <w:szCs w:val="28"/>
                <w:lang w:val="en-US"/>
              </w:rPr>
              <w:t>00</w:t>
            </w:r>
          </w:p>
        </w:tc>
      </w:tr>
    </w:tbl>
    <w:p w:rsidR="00D317E4" w:rsidRDefault="00D317E4" w:rsidP="00D317E4">
      <w:pPr>
        <w:pStyle w:val="a6"/>
        <w:tabs>
          <w:tab w:val="left" w:pos="0"/>
          <w:tab w:val="left" w:pos="1134"/>
        </w:tabs>
        <w:spacing w:after="0" w:line="240" w:lineRule="auto"/>
        <w:ind w:left="709"/>
        <w:jc w:val="both"/>
        <w:rPr>
          <w:rFonts w:ascii="Times New Roman" w:hAnsi="Times New Roman"/>
          <w:sz w:val="28"/>
          <w:szCs w:val="28"/>
          <w:lang w:val="en-US"/>
        </w:rPr>
      </w:pPr>
    </w:p>
    <w:p w:rsidR="00D317E4" w:rsidRDefault="00D317E4" w:rsidP="00D317E4">
      <w:pPr>
        <w:pStyle w:val="a6"/>
        <w:tabs>
          <w:tab w:val="left" w:pos="0"/>
          <w:tab w:val="left" w:pos="1134"/>
        </w:tabs>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The ceiling contract price</w:t>
      </w:r>
      <w:r w:rsidRPr="00A203FE">
        <w:rPr>
          <w:rFonts w:ascii="Times New Roman" w:hAnsi="Times New Roman"/>
          <w:sz w:val="28"/>
          <w:szCs w:val="28"/>
          <w:lang w:val="en-US"/>
        </w:rPr>
        <w:t>:</w:t>
      </w:r>
    </w:p>
    <w:p w:rsidR="00D317E4" w:rsidRPr="003D6A85" w:rsidRDefault="00D317E4" w:rsidP="00D317E4">
      <w:pPr>
        <w:tabs>
          <w:tab w:val="left" w:pos="0"/>
          <w:tab w:val="left" w:pos="1134"/>
        </w:tabs>
        <w:jc w:val="both"/>
        <w:rPr>
          <w:sz w:val="28"/>
          <w:szCs w:val="28"/>
          <w:lang w:val="en-US"/>
        </w:rPr>
      </w:pPr>
      <w:r>
        <w:rPr>
          <w:rFonts w:eastAsia="Calibri"/>
          <w:sz w:val="28"/>
          <w:szCs w:val="28"/>
          <w:lang w:val="en"/>
        </w:rPr>
        <w:t>4 500 000,00</w:t>
      </w:r>
      <w:r w:rsidRPr="00AB5B3F">
        <w:rPr>
          <w:rFonts w:eastAsia="Calibri"/>
          <w:sz w:val="28"/>
          <w:szCs w:val="28"/>
          <w:lang w:val="en"/>
        </w:rPr>
        <w:t xml:space="preserve"> </w:t>
      </w:r>
      <w:r>
        <w:rPr>
          <w:rFonts w:eastAsia="Calibri"/>
          <w:sz w:val="28"/>
          <w:szCs w:val="28"/>
          <w:lang w:val="en"/>
        </w:rPr>
        <w:t>JPY</w:t>
      </w:r>
      <w:r w:rsidRPr="00CF6D81">
        <w:rPr>
          <w:rFonts w:eastAsia="Calibri"/>
          <w:lang w:val="en"/>
        </w:rPr>
        <w:t xml:space="preserve"> </w:t>
      </w:r>
      <w:r w:rsidRPr="00CF6D81">
        <w:rPr>
          <w:rFonts w:eastAsia="Calibri"/>
          <w:sz w:val="28"/>
          <w:szCs w:val="28"/>
          <w:lang w:val="en"/>
        </w:rPr>
        <w:t>including VAT</w:t>
      </w:r>
      <w:r w:rsidRPr="000354FD">
        <w:rPr>
          <w:rFonts w:eastAsia="Calibri"/>
          <w:sz w:val="28"/>
          <w:szCs w:val="28"/>
          <w:lang w:val="en-US"/>
        </w:rPr>
        <w:t xml:space="preserve"> </w:t>
      </w:r>
      <w:r>
        <w:rPr>
          <w:rFonts w:eastAsia="Calibri"/>
          <w:sz w:val="28"/>
          <w:szCs w:val="28"/>
          <w:lang w:val="en-US"/>
        </w:rPr>
        <w:t>and all applicable taxes</w:t>
      </w:r>
      <w:r w:rsidRPr="003D6A85">
        <w:rPr>
          <w:sz w:val="28"/>
          <w:szCs w:val="28"/>
          <w:lang w:val="en-US"/>
        </w:rPr>
        <w:t>.</w:t>
      </w:r>
    </w:p>
    <w:p w:rsidR="00D317E4" w:rsidRDefault="00D317E4" w:rsidP="00D317E4">
      <w:pPr>
        <w:tabs>
          <w:tab w:val="left" w:pos="1134"/>
        </w:tabs>
        <w:ind w:firstLine="709"/>
        <w:contextualSpacing/>
        <w:jc w:val="both"/>
        <w:rPr>
          <w:sz w:val="28"/>
          <w:szCs w:val="28"/>
          <w:lang w:val="en-US"/>
        </w:rPr>
      </w:pPr>
    </w:p>
    <w:p w:rsidR="00D317E4" w:rsidRPr="00A203FE" w:rsidRDefault="00D317E4" w:rsidP="00D317E4">
      <w:pPr>
        <w:tabs>
          <w:tab w:val="left" w:pos="1134"/>
        </w:tabs>
        <w:ind w:firstLine="709"/>
        <w:contextualSpacing/>
        <w:jc w:val="both"/>
        <w:rPr>
          <w:sz w:val="28"/>
          <w:szCs w:val="28"/>
          <w:lang w:val="en-US"/>
        </w:rPr>
      </w:pPr>
      <w:r>
        <w:rPr>
          <w:sz w:val="28"/>
          <w:szCs w:val="28"/>
          <w:lang w:val="en-US"/>
        </w:rPr>
        <w:t xml:space="preserve">The bidder's proposal </w:t>
      </w:r>
      <w:r w:rsidRPr="00A203FE">
        <w:rPr>
          <w:sz w:val="28"/>
          <w:szCs w:val="28"/>
          <w:lang w:val="en-US"/>
        </w:rPr>
        <w:t xml:space="preserve">of price of each </w:t>
      </w:r>
      <w:r>
        <w:rPr>
          <w:sz w:val="28"/>
          <w:szCs w:val="28"/>
          <w:lang w:val="en-US"/>
        </w:rPr>
        <w:t>product</w:t>
      </w:r>
      <w:r w:rsidRPr="00A203FE">
        <w:rPr>
          <w:sz w:val="28"/>
          <w:szCs w:val="28"/>
          <w:lang w:val="en-US"/>
        </w:rPr>
        <w:t xml:space="preserve"> must not exceed the initial (maximum) price of each </w:t>
      </w:r>
      <w:r>
        <w:rPr>
          <w:sz w:val="28"/>
          <w:szCs w:val="28"/>
          <w:lang w:val="en-US"/>
        </w:rPr>
        <w:t>product</w:t>
      </w:r>
      <w:r w:rsidRPr="00A203FE">
        <w:rPr>
          <w:sz w:val="28"/>
          <w:szCs w:val="28"/>
          <w:lang w:val="en-US"/>
        </w:rPr>
        <w:t xml:space="preserve">. </w:t>
      </w:r>
    </w:p>
    <w:p w:rsidR="00D317E4" w:rsidRDefault="00D317E4" w:rsidP="00D317E4">
      <w:pPr>
        <w:tabs>
          <w:tab w:val="left" w:pos="1134"/>
        </w:tabs>
        <w:ind w:firstLine="709"/>
        <w:contextualSpacing/>
        <w:jc w:val="both"/>
        <w:rPr>
          <w:b/>
          <w:i/>
          <w:lang w:val="en-US"/>
        </w:rPr>
      </w:pPr>
    </w:p>
    <w:p w:rsidR="00D317E4" w:rsidRDefault="00D317E4" w:rsidP="00D317E4">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317E4" w:rsidRDefault="00D317E4" w:rsidP="00D317E4">
      <w:pPr>
        <w:tabs>
          <w:tab w:val="left" w:pos="1134"/>
        </w:tabs>
        <w:ind w:firstLine="709"/>
        <w:contextualSpacing/>
        <w:jc w:val="both"/>
        <w:rPr>
          <w:b/>
          <w:i/>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317E4" w:rsidRDefault="00D317E4" w:rsidP="00D317E4">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317E4" w:rsidRDefault="00D317E4" w:rsidP="00D317E4">
      <w:pPr>
        <w:tabs>
          <w:tab w:val="left" w:pos="1134"/>
        </w:tabs>
        <w:ind w:firstLine="709"/>
        <w:contextualSpacing/>
        <w:jc w:val="both"/>
        <w:rPr>
          <w:b/>
          <w:i/>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Pr="00C256AC">
        <w:rPr>
          <w:rFonts w:ascii="Times New Roman" w:hAnsi="Times New Roman"/>
          <w:sz w:val="28"/>
          <w:szCs w:val="28"/>
          <w:lang w:val="en-US"/>
        </w:rPr>
        <w:t>JPY</w:t>
      </w:r>
      <w:r w:rsidRPr="00D077B7">
        <w:rPr>
          <w:rFonts w:ascii="Times New Roman" w:hAnsi="Times New Roman"/>
          <w:sz w:val="28"/>
          <w:szCs w:val="28"/>
          <w:lang w:val="en-US"/>
        </w:rPr>
        <w:t>.</w:t>
      </w:r>
    </w:p>
    <w:p w:rsidR="00D317E4" w:rsidRDefault="00D317E4" w:rsidP="00D317E4">
      <w:pPr>
        <w:tabs>
          <w:tab w:val="left" w:pos="1134"/>
        </w:tabs>
        <w:ind w:firstLine="709"/>
        <w:contextualSpacing/>
        <w:jc w:val="both"/>
        <w:rPr>
          <w:b/>
          <w:i/>
          <w:lang w:val="en-US"/>
        </w:rPr>
      </w:pPr>
    </w:p>
    <w:p w:rsidR="00D317E4" w:rsidRPr="00F87652"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D317E4" w:rsidRPr="00B52C96" w:rsidRDefault="00D317E4" w:rsidP="00D317E4">
      <w:pPr>
        <w:tabs>
          <w:tab w:val="left" w:pos="1134"/>
        </w:tabs>
        <w:ind w:firstLine="709"/>
        <w:contextualSpacing/>
        <w:jc w:val="both"/>
        <w:rPr>
          <w:rFonts w:eastAsia="Calibri"/>
          <w:b/>
          <w:i/>
          <w:lang w:val="en-US" w:eastAsia="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317E4" w:rsidRDefault="00D317E4" w:rsidP="00D317E4">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317E4" w:rsidRDefault="00D317E4" w:rsidP="00D317E4">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317E4" w:rsidRDefault="00D317E4" w:rsidP="00D317E4">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D317E4" w:rsidRPr="00F849B7" w:rsidRDefault="00D317E4" w:rsidP="00D317E4">
      <w:pPr>
        <w:tabs>
          <w:tab w:val="left" w:pos="1134"/>
        </w:tabs>
        <w:ind w:firstLine="709"/>
        <w:contextualSpacing/>
        <w:jc w:val="both"/>
        <w:rPr>
          <w:color w:val="FF0000"/>
          <w:sz w:val="28"/>
          <w:szCs w:val="28"/>
          <w:lang w:val="en-US"/>
        </w:rPr>
      </w:pPr>
      <w:r w:rsidRPr="00B52C96">
        <w:rPr>
          <w:sz w:val="28"/>
          <w:szCs w:val="28"/>
          <w:lang w:val="en-US"/>
        </w:rPr>
        <w:lastRenderedPageBreak/>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D317E4" w:rsidRDefault="00D317E4" w:rsidP="00D317E4">
      <w:pPr>
        <w:tabs>
          <w:tab w:val="left" w:pos="1134"/>
        </w:tabs>
        <w:contextualSpacing/>
        <w:jc w:val="both"/>
        <w:rPr>
          <w:spacing w:val="-6"/>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317E4" w:rsidRDefault="00D317E4" w:rsidP="00D317E4">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317E4" w:rsidRDefault="00D317E4" w:rsidP="00D317E4">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D317E4" w:rsidRPr="001A1B32" w:rsidRDefault="00D317E4" w:rsidP="00D317E4">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Pr="00524E0C">
        <w:rPr>
          <w:rStyle w:val="a8"/>
          <w:sz w:val="28"/>
          <w:szCs w:val="28"/>
          <w:lang w:val="en-US"/>
        </w:rPr>
        <w:t>http://www.rosatom-asia.com</w:t>
      </w:r>
      <w:r w:rsidRPr="001A1B32">
        <w:rPr>
          <w:sz w:val="28"/>
          <w:szCs w:val="28"/>
          <w:lang w:val="en-US"/>
        </w:rPr>
        <w:t>.</w:t>
      </w:r>
    </w:p>
    <w:p w:rsidR="00D317E4" w:rsidRDefault="00D317E4" w:rsidP="00D317E4">
      <w:pPr>
        <w:tabs>
          <w:tab w:val="left" w:pos="386"/>
        </w:tabs>
        <w:ind w:firstLine="709"/>
        <w:contextualSpacing/>
        <w:jc w:val="both"/>
        <w:rPr>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317E4" w:rsidRDefault="00D317E4" w:rsidP="00D317E4">
      <w:pPr>
        <w:tabs>
          <w:tab w:val="left" w:pos="1134"/>
        </w:tabs>
        <w:ind w:firstLine="709"/>
        <w:contextualSpacing/>
        <w:jc w:val="both"/>
        <w:rPr>
          <w:spacing w:val="-6"/>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317E4" w:rsidRDefault="00D317E4" w:rsidP="00D317E4">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317E4" w:rsidRPr="00DD49C0" w:rsidRDefault="00D317E4" w:rsidP="00D317E4">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D317E4" w:rsidRPr="00DD49C0" w:rsidRDefault="00D317E4" w:rsidP="00D317E4">
      <w:pPr>
        <w:pStyle w:val="Times12"/>
        <w:tabs>
          <w:tab w:val="left" w:pos="70"/>
        </w:tabs>
        <w:ind w:right="153" w:firstLine="0"/>
        <w:jc w:val="left"/>
        <w:rPr>
          <w:rFonts w:eastAsia="Calibri"/>
          <w:b/>
          <w:bCs w:val="0"/>
          <w:i/>
          <w:szCs w:val="24"/>
          <w:lang w:val="en-US" w:eastAsia="en-US"/>
        </w:rPr>
      </w:pPr>
    </w:p>
    <w:p w:rsidR="00D317E4" w:rsidRPr="0009000B"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D317E4" w:rsidRPr="0009000B" w:rsidRDefault="00D317E4" w:rsidP="00D317E4">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BF3E5F">
        <w:rPr>
          <w:bCs/>
          <w:spacing w:val="-6"/>
          <w:sz w:val="28"/>
          <w:szCs w:val="28"/>
          <w:lang w:val="en-US"/>
        </w:rPr>
        <w:t>August</w:t>
      </w:r>
      <w:r w:rsidR="00BF3E5F" w:rsidRPr="0009000B">
        <w:rPr>
          <w:bCs/>
          <w:spacing w:val="-6"/>
          <w:sz w:val="28"/>
          <w:szCs w:val="28"/>
          <w:lang w:val="en-US"/>
        </w:rPr>
        <w:t xml:space="preserve"> </w:t>
      </w:r>
      <w:r w:rsidR="00BF3E5F">
        <w:rPr>
          <w:bCs/>
          <w:spacing w:val="-6"/>
          <w:sz w:val="28"/>
          <w:szCs w:val="28"/>
          <w:lang w:val="en-US"/>
        </w:rPr>
        <w:t>08</w:t>
      </w:r>
      <w:r w:rsidR="00BF3E5F" w:rsidRPr="0009000B">
        <w:rPr>
          <w:bCs/>
          <w:spacing w:val="-6"/>
          <w:sz w:val="28"/>
          <w:szCs w:val="28"/>
          <w:lang w:val="en-US"/>
        </w:rPr>
        <w:t>, 2019</w:t>
      </w:r>
      <w:r w:rsidRPr="0009000B">
        <w:rPr>
          <w:rFonts w:eastAsia="Calibri"/>
          <w:bCs/>
          <w:sz w:val="28"/>
          <w:lang w:val="en-US" w:eastAsia="en-US"/>
        </w:rPr>
        <w:t>.</w:t>
      </w:r>
    </w:p>
    <w:p w:rsidR="00D317E4" w:rsidRPr="0009000B" w:rsidRDefault="00D317E4" w:rsidP="00D317E4">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Pr="0009000B">
        <w:rPr>
          <w:sz w:val="28"/>
          <w:szCs w:val="28"/>
          <w:lang w:val="en"/>
        </w:rPr>
        <w:t>20 Collyer Quay #09-05, Singapore 049319</w:t>
      </w:r>
      <w:r w:rsidRPr="0009000B">
        <w:rPr>
          <w:bCs/>
          <w:spacing w:val="-6"/>
          <w:sz w:val="28"/>
          <w:szCs w:val="28"/>
          <w:lang w:val="en-US"/>
        </w:rPr>
        <w:t>, no later than 1</w:t>
      </w:r>
      <w:r w:rsidRPr="00261136">
        <w:rPr>
          <w:bCs/>
          <w:spacing w:val="-6"/>
          <w:sz w:val="28"/>
          <w:szCs w:val="28"/>
          <w:lang w:val="en-US"/>
        </w:rPr>
        <w:t>6</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sidR="00BF3E5F" w:rsidRPr="0009000B">
        <w:rPr>
          <w:bCs/>
          <w:spacing w:val="-6"/>
          <w:sz w:val="28"/>
          <w:szCs w:val="28"/>
          <w:lang w:val="en-US"/>
        </w:rPr>
        <w:t xml:space="preserve">August </w:t>
      </w:r>
      <w:r w:rsidR="00BF3E5F">
        <w:rPr>
          <w:bCs/>
          <w:spacing w:val="-6"/>
          <w:sz w:val="28"/>
          <w:szCs w:val="28"/>
          <w:lang w:val="en-US"/>
        </w:rPr>
        <w:t>16</w:t>
      </w:r>
      <w:r w:rsidRPr="0009000B">
        <w:rPr>
          <w:bCs/>
          <w:spacing w:val="-6"/>
          <w:sz w:val="28"/>
          <w:szCs w:val="28"/>
          <w:lang w:val="en-US"/>
        </w:rPr>
        <w:t xml:space="preserve">, 2019. </w:t>
      </w:r>
    </w:p>
    <w:p w:rsidR="00D317E4" w:rsidRPr="0009000B" w:rsidRDefault="00D317E4" w:rsidP="00D317E4">
      <w:pPr>
        <w:tabs>
          <w:tab w:val="left" w:pos="1134"/>
        </w:tabs>
        <w:ind w:firstLine="709"/>
        <w:contextualSpacing/>
        <w:jc w:val="both"/>
        <w:rPr>
          <w:b/>
          <w:i/>
          <w:lang w:val="en-US"/>
        </w:rPr>
      </w:pPr>
    </w:p>
    <w:p w:rsidR="00D317E4" w:rsidRPr="0009000B" w:rsidRDefault="00D317E4" w:rsidP="00D317E4">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rsidR="00D317E4" w:rsidRPr="00276D01" w:rsidRDefault="00D317E4" w:rsidP="00D317E4">
      <w:pPr>
        <w:tabs>
          <w:tab w:val="left" w:pos="1134"/>
        </w:tabs>
        <w:ind w:left="709"/>
        <w:contextualSpacing/>
        <w:jc w:val="both"/>
        <w:rPr>
          <w:spacing w:val="-6"/>
          <w:sz w:val="28"/>
          <w:szCs w:val="28"/>
          <w:lang w:val="en-US"/>
        </w:rPr>
      </w:pPr>
      <w:r w:rsidRPr="0009000B">
        <w:rPr>
          <w:sz w:val="28"/>
          <w:szCs w:val="28"/>
          <w:lang w:val="en"/>
        </w:rPr>
        <w:t>20 Collyer Quay #09-05, Sing</w:t>
      </w:r>
      <w:bookmarkStart w:id="6" w:name="_GoBack"/>
      <w:bookmarkEnd w:id="6"/>
      <w:r w:rsidRPr="0009000B">
        <w:rPr>
          <w:sz w:val="28"/>
          <w:szCs w:val="28"/>
          <w:lang w:val="en"/>
        </w:rPr>
        <w:t xml:space="preserve">apore 049319, </w:t>
      </w:r>
      <w:r w:rsidRPr="0009000B">
        <w:rPr>
          <w:spacing w:val="-6"/>
          <w:sz w:val="28"/>
          <w:szCs w:val="28"/>
          <w:lang w:val="en-US"/>
        </w:rPr>
        <w:t>1</w:t>
      </w:r>
      <w:r>
        <w:rPr>
          <w:spacing w:val="-6"/>
          <w:sz w:val="28"/>
          <w:szCs w:val="28"/>
          <w:lang w:val="en-US"/>
        </w:rPr>
        <w:t>6</w:t>
      </w:r>
      <w:r w:rsidRPr="00AC7026">
        <w:rPr>
          <w:spacing w:val="-6"/>
          <w:sz w:val="28"/>
          <w:szCs w:val="28"/>
          <w:lang w:val="en-US"/>
        </w:rPr>
        <w:t>:</w:t>
      </w:r>
      <w:r w:rsidRPr="00276D01">
        <w:rPr>
          <w:spacing w:val="-6"/>
          <w:sz w:val="28"/>
          <w:szCs w:val="28"/>
          <w:lang w:val="en-US"/>
        </w:rPr>
        <w:t>00 (</w:t>
      </w:r>
      <w:r w:rsidRPr="00276D01">
        <w:rPr>
          <w:bCs/>
          <w:spacing w:val="-6"/>
          <w:sz w:val="28"/>
          <w:szCs w:val="28"/>
          <w:lang w:val="en-US"/>
        </w:rPr>
        <w:t xml:space="preserve">Local </w:t>
      </w:r>
      <w:r w:rsidRPr="00276D01">
        <w:rPr>
          <w:spacing w:val="-6"/>
          <w:sz w:val="28"/>
          <w:szCs w:val="28"/>
          <w:lang w:val="en-US"/>
        </w:rPr>
        <w:t xml:space="preserve">time) </w:t>
      </w:r>
      <w:r w:rsidRPr="00AC7026">
        <w:rPr>
          <w:spacing w:val="-6"/>
          <w:sz w:val="28"/>
          <w:szCs w:val="28"/>
          <w:lang w:val="en-US"/>
        </w:rPr>
        <w:t xml:space="preserve">(11:00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sidR="00BF3E5F" w:rsidRPr="0009000B">
        <w:rPr>
          <w:bCs/>
          <w:spacing w:val="-6"/>
          <w:sz w:val="28"/>
          <w:szCs w:val="28"/>
          <w:lang w:val="en-US"/>
        </w:rPr>
        <w:t xml:space="preserve">August </w:t>
      </w:r>
      <w:r w:rsidR="00BF3E5F">
        <w:rPr>
          <w:bCs/>
          <w:spacing w:val="-6"/>
          <w:sz w:val="28"/>
          <w:szCs w:val="28"/>
          <w:lang w:val="en-US"/>
        </w:rPr>
        <w:t>16</w:t>
      </w:r>
      <w:r w:rsidRPr="00276D01">
        <w:rPr>
          <w:bCs/>
          <w:spacing w:val="-6"/>
          <w:sz w:val="28"/>
          <w:szCs w:val="28"/>
          <w:lang w:val="en-US"/>
        </w:rPr>
        <w:t>, 2019.</w:t>
      </w:r>
    </w:p>
    <w:p w:rsidR="00D317E4" w:rsidRPr="00276D01" w:rsidRDefault="00D317E4" w:rsidP="00D317E4">
      <w:pPr>
        <w:tabs>
          <w:tab w:val="left" w:pos="1134"/>
        </w:tabs>
        <w:ind w:left="709"/>
        <w:contextualSpacing/>
        <w:jc w:val="both"/>
        <w:rPr>
          <w:spacing w:val="-6"/>
          <w:sz w:val="28"/>
          <w:szCs w:val="28"/>
          <w:lang w:val="en-US"/>
        </w:rPr>
      </w:pPr>
    </w:p>
    <w:p w:rsidR="00D317E4" w:rsidRPr="00276D01"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D317E4" w:rsidRDefault="00D317E4" w:rsidP="00D317E4">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BF3E5F" w:rsidRPr="00276D01">
        <w:rPr>
          <w:bCs/>
          <w:spacing w:val="-6"/>
          <w:sz w:val="28"/>
          <w:szCs w:val="28"/>
          <w:lang w:val="en-US"/>
        </w:rPr>
        <w:t xml:space="preserve">August </w:t>
      </w:r>
      <w:r w:rsidR="00BF3E5F">
        <w:rPr>
          <w:bCs/>
          <w:spacing w:val="-6"/>
          <w:sz w:val="28"/>
          <w:szCs w:val="28"/>
          <w:lang w:val="en-US"/>
        </w:rPr>
        <w:t>22</w:t>
      </w:r>
      <w:r w:rsidRPr="00276D01">
        <w:rPr>
          <w:sz w:val="28"/>
          <w:szCs w:val="28"/>
          <w:lang w:val="en-US"/>
        </w:rPr>
        <w:t>, 2019</w:t>
      </w:r>
      <w:r>
        <w:rPr>
          <w:sz w:val="28"/>
          <w:szCs w:val="28"/>
          <w:lang w:val="en-US"/>
        </w:rPr>
        <w:t>.</w:t>
      </w:r>
    </w:p>
    <w:p w:rsidR="00D317E4" w:rsidRPr="00276D01" w:rsidRDefault="00D317E4" w:rsidP="00D317E4">
      <w:pPr>
        <w:tabs>
          <w:tab w:val="left" w:pos="1134"/>
        </w:tabs>
        <w:ind w:firstLine="709"/>
        <w:contextualSpacing/>
        <w:jc w:val="both"/>
        <w:rPr>
          <w:b/>
          <w:i/>
          <w:lang w:val="en-US"/>
        </w:rPr>
      </w:pPr>
    </w:p>
    <w:p w:rsidR="00D317E4" w:rsidRDefault="00D317E4" w:rsidP="00D317E4">
      <w:pPr>
        <w:tabs>
          <w:tab w:val="left" w:pos="1134"/>
        </w:tabs>
        <w:ind w:firstLine="709"/>
        <w:contextualSpacing/>
        <w:jc w:val="both"/>
        <w:rPr>
          <w:b/>
          <w:i/>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lastRenderedPageBreak/>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D317E4" w:rsidRDefault="00D317E4" w:rsidP="00D317E4">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317E4" w:rsidRDefault="00D317E4" w:rsidP="00D317E4">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317E4" w:rsidRDefault="00D317E4" w:rsidP="00D317E4">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317E4" w:rsidRDefault="00D317E4" w:rsidP="00D317E4">
      <w:pPr>
        <w:tabs>
          <w:tab w:val="left" w:pos="1134"/>
        </w:tabs>
        <w:ind w:firstLine="709"/>
        <w:contextualSpacing/>
        <w:jc w:val="both"/>
        <w:rPr>
          <w:sz w:val="28"/>
          <w:lang w:val="en-US"/>
        </w:rPr>
      </w:pPr>
    </w:p>
    <w:p w:rsidR="00D317E4" w:rsidRDefault="00D317E4" w:rsidP="00D317E4">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317E4" w:rsidRDefault="00D317E4" w:rsidP="00D317E4">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317E4" w:rsidRDefault="00D317E4" w:rsidP="00D317E4">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317E4" w:rsidRDefault="00D317E4" w:rsidP="00D317E4">
      <w:pPr>
        <w:tabs>
          <w:tab w:val="left" w:pos="1134"/>
        </w:tabs>
        <w:ind w:left="709"/>
        <w:contextualSpacing/>
        <w:jc w:val="both"/>
        <w:rPr>
          <w:spacing w:val="-6"/>
          <w:sz w:val="32"/>
          <w:szCs w:val="28"/>
          <w:lang w:val="en-US"/>
        </w:rPr>
      </w:pPr>
    </w:p>
    <w:p w:rsidR="00D317E4" w:rsidRPr="0039225C"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D317E4" w:rsidRDefault="00D317E4" w:rsidP="00D317E4">
      <w:pPr>
        <w:tabs>
          <w:tab w:val="left" w:pos="1134"/>
        </w:tabs>
        <w:ind w:left="709"/>
        <w:contextualSpacing/>
        <w:jc w:val="both"/>
        <w:rPr>
          <w:rFonts w:eastAsia="Calibri"/>
          <w:spacing w:val="-6"/>
          <w:sz w:val="28"/>
          <w:szCs w:val="28"/>
          <w:lang w:val="en-US" w:eastAsia="en-US"/>
        </w:rPr>
      </w:pPr>
    </w:p>
    <w:p w:rsidR="00D317E4" w:rsidRDefault="00D317E4" w:rsidP="00D317E4">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 not considered a tender under the laws of the Russian Federation.</w:t>
      </w:r>
    </w:p>
    <w:p w:rsidR="00D317E4" w:rsidRDefault="00D317E4" w:rsidP="00D317E4">
      <w:pPr>
        <w:tabs>
          <w:tab w:val="left" w:pos="0"/>
          <w:tab w:val="left" w:pos="1134"/>
        </w:tabs>
        <w:ind w:left="709"/>
        <w:contextualSpacing/>
        <w:jc w:val="both"/>
        <w:rPr>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317E4" w:rsidRDefault="00D317E4" w:rsidP="00D317E4">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317E4" w:rsidRDefault="00D317E4" w:rsidP="00D317E4">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317E4" w:rsidRDefault="00D317E4" w:rsidP="00D317E4">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force majeure confirmed by relevant documentary evidence and affecting the practicability of purchasing the respective goods/works/service;</w:t>
      </w:r>
    </w:p>
    <w:p w:rsidR="00D317E4" w:rsidRDefault="00D317E4" w:rsidP="00D317E4">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317E4" w:rsidRDefault="00D317E4" w:rsidP="00D317E4">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317E4" w:rsidRDefault="00D317E4" w:rsidP="00D317E4">
      <w:pPr>
        <w:pStyle w:val="a6"/>
        <w:tabs>
          <w:tab w:val="left" w:pos="1134"/>
        </w:tabs>
        <w:ind w:left="709"/>
        <w:jc w:val="both"/>
        <w:rPr>
          <w:rFonts w:ascii="Times New Roman" w:hAnsi="Times New Roman"/>
          <w:sz w:val="28"/>
          <w:szCs w:val="28"/>
          <w:lang w:val="en-US"/>
        </w:rPr>
      </w:pPr>
    </w:p>
    <w:p w:rsidR="00D317E4" w:rsidRDefault="00D317E4" w:rsidP="00D317E4">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7F0039" w:rsidRPr="009C35BE" w:rsidRDefault="00D317E4" w:rsidP="00D317E4">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r w:rsidR="007F0039" w:rsidRPr="009C35BE">
        <w:rPr>
          <w:rFonts w:ascii="Times New Roman" w:hAnsi="Times New Roman"/>
          <w:sz w:val="28"/>
          <w:szCs w:val="28"/>
          <w:lang w:val="en-US"/>
        </w:rPr>
        <w:t>.</w:t>
      </w:r>
    </w:p>
    <w:p w:rsidR="007F0039" w:rsidRPr="009C35BE" w:rsidRDefault="007F0039" w:rsidP="007F0039">
      <w:pPr>
        <w:pStyle w:val="a4"/>
        <w:spacing w:before="0" w:beforeAutospacing="0" w:after="0" w:afterAutospacing="0"/>
        <w:ind w:right="153"/>
        <w:jc w:val="both"/>
        <w:rPr>
          <w:lang w:val="en-US"/>
        </w:rPr>
      </w:pPr>
    </w:p>
    <w:p w:rsidR="007F0039" w:rsidRPr="009C35BE" w:rsidRDefault="007F0039" w:rsidP="007F0039">
      <w:pPr>
        <w:pStyle w:val="a4"/>
        <w:spacing w:before="0" w:beforeAutospacing="0" w:after="0" w:afterAutospacing="0"/>
        <w:ind w:right="153"/>
        <w:jc w:val="both"/>
        <w:rPr>
          <w:lang w:val="en-US"/>
        </w:rPr>
      </w:pPr>
    </w:p>
    <w:p w:rsidR="003D4008" w:rsidRDefault="003D4008" w:rsidP="007F0039">
      <w:pPr>
        <w:pStyle w:val="a4"/>
        <w:tabs>
          <w:tab w:val="left" w:pos="0"/>
          <w:tab w:val="left" w:pos="1134"/>
        </w:tabs>
        <w:spacing w:before="0" w:beforeAutospacing="0" w:after="0" w:afterAutospacing="0"/>
        <w:contextualSpacing/>
        <w:jc w:val="both"/>
        <w:rPr>
          <w:lang w:val="en-US"/>
        </w:rPr>
      </w:pPr>
    </w:p>
    <w:sectPr w:rsidR="003D4008" w:rsidSect="00D317E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6"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0"/>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8"/>
    <w:rsid w:val="000604E2"/>
    <w:rsid w:val="003D4008"/>
    <w:rsid w:val="00424FF4"/>
    <w:rsid w:val="006512CB"/>
    <w:rsid w:val="007F0039"/>
    <w:rsid w:val="00807B9A"/>
    <w:rsid w:val="008F5BE3"/>
    <w:rsid w:val="00B4079A"/>
    <w:rsid w:val="00BF3E5F"/>
    <w:rsid w:val="00BF64C8"/>
    <w:rsid w:val="00C7329B"/>
    <w:rsid w:val="00D3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6"/>
    <w:uiPriority w:val="34"/>
    <w:rPr>
      <w:rFonts w:ascii="Calibri" w:eastAsia="Calibri" w:hAnsi="Calibri" w:cs="Times New Roman"/>
    </w:rPr>
  </w:style>
  <w:style w:type="character" w:styleId="a8">
    <w:name w:val="Hyperlink"/>
    <w:uiPriority w:val="99"/>
    <w:unhideWhenUsed/>
    <w:rsid w:val="00807B9A"/>
    <w:rPr>
      <w:color w:val="0000FF"/>
      <w:u w:val="single"/>
    </w:rPr>
  </w:style>
  <w:style w:type="paragraph" w:customStyle="1" w:styleId="11">
    <w:name w:val="Обычный1"/>
    <w:rsid w:val="00BF64C8"/>
    <w:pPr>
      <w:spacing w:after="0" w:line="240" w:lineRule="auto"/>
    </w:pPr>
    <w:rPr>
      <w:rFonts w:ascii="Times New Roman" w:eastAsia="Times New Roman" w:hAnsi="Times New Roman" w:cs="Times New Roman"/>
      <w:sz w:val="24"/>
      <w:szCs w:val="24"/>
      <w:lang w:eastAsia="ru-RU"/>
    </w:rPr>
  </w:style>
  <w:style w:type="table" w:styleId="a9">
    <w:name w:val="Table Grid"/>
    <w:basedOn w:val="a2"/>
    <w:rsid w:val="00D317E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601141178">
      <w:bodyDiv w:val="1"/>
      <w:marLeft w:val="0"/>
      <w:marRight w:val="0"/>
      <w:marTop w:val="0"/>
      <w:marBottom w:val="0"/>
      <w:divBdr>
        <w:top w:val="none" w:sz="0" w:space="0" w:color="auto"/>
        <w:left w:val="none" w:sz="0" w:space="0" w:color="auto"/>
        <w:bottom w:val="none" w:sz="0" w:space="0" w:color="auto"/>
        <w:right w:val="none" w:sz="0" w:space="0" w:color="auto"/>
      </w:divBdr>
    </w:div>
    <w:div w:id="21146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Астахова Мария</cp:lastModifiedBy>
  <cp:revision>12</cp:revision>
  <dcterms:created xsi:type="dcterms:W3CDTF">2018-11-01T10:58:00Z</dcterms:created>
  <dcterms:modified xsi:type="dcterms:W3CDTF">2019-08-08T13:17:00Z</dcterms:modified>
</cp:coreProperties>
</file>